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PSPS Board of Directors and Senior Advisors Financial Disclosures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5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0"/>
        <w:tblGridChange w:id="0">
          <w:tblGrid>
            <w:gridCol w:w="94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Harjot Bhandal, MD, has had a financial agreement of affiliation with the following commercial interest in the form of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Consultant: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Abbott, Biotronik and Saluda.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 Buchanan, MD, has had a financial agreement or affiliation with the following commercial interest in the form of Consultant: Abbott, PainTEQ; Research: Abbott, PainTEQ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Sandy Christiansen, MD, has had a financial agreement or affiliation with the following commercial interest in the form of Research: Sorrento, AVANOS.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Eric Cornidez, MD, MBA has had a financial agreement or affiliation with the following ineligible companies in the form of Consultant: Abbott, Biotronik, ; Research: Abbott, Nevro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Christine Haddad, MD, PhD, has had a financial agreement or affiliation with the following ineligible companies in the form of Consultant: Medtronic, Boston Scientific.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Jennifer Hah, MD, has had a financial agreement or affiliation with the following commercial interest in the form of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Consultant: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Nalu Medical.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Yu-Po Lee, MD, has had a financial agreement or affiliation with the following commercial interest in the form of Faculty: Globus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Ryan Mattie, MD, has no financial relationships to disclose.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Roya Moheimani, MD, has no financial relationships to disclose.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Laura Pasternack, MD, has had a financial agreement or affiliation during the past year with the following commercial interest in the form of Consultant: Boston Scientific.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Samir Sheth, MD has had a financial agreement or affiliation with the following commercial interest in the form of Consultant: Boston Scientific, Medtronic, Nevro, SPR Therapeutics, Nalu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Drew Trainor, DO, has had a financial relationship or affiliation with the following commercial interests in the form of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Consultant: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Boston Scientific, Nalu Medical, Promethean Medical;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Speaker: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Boston Scientific, Promethean Medical;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Research: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Boston Scientific, Nalu Medical, SPR Therapeutics;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Advisor: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Boston Scientific, Promethean Medical;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Executive Role: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Promethean Medical.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Jacqueline Weisbein, DO, has had a financial agreement or affiliation with the following commercial interest in the form of Consultant: Abbott, Mainstay; Speaker Bureau: Vertex, Boston Scientific, Aurora, Mainstay; Research: Abbott, Saluda Medical, Medtronic, Vivex; Ad Board: Abbott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Ramana K. Naidu, MD has had a financial agreement or affiliation with the following commercial interest in the form of Consultant: Avanos, Abbott, Bicycle Health, Biotronik, Bioventus, Boston Scientific, CereVu, DoctorPlan, ExerAI, KarunaLabs, Medtronic, Nalu Medical, PainTEQ, Relievant, SI Bone, Sonosite, SPR Therapeutics, VIVEX, Ferring Pharmaceuticals, Discure, Pajunk, Viari Health, Mytonomy; Faculty: Stratus Medical; Speaker's Bureau: Boston Scientific, PainTEQ, Relievant; Shareholder: DoctorPlan; Options: Nalu Medical, PainTEQ.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Michael Y. Oh, MD, has had a financial agreement or affiliation with the following commercial interest in the form of Consultant: GS Medical, Xtant; Teaching: Spineology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Denis G. Patterson, DO, has had a financial agreement or affiliation with the following commercial interest in the form of Consultant: Abbott Medical, AIS, Aurora Spine, CG Medtech, CornerLoc, Curonix, Globus, Nevro Corp, OrthoFundamentals, PainTEQ, Promethean Restorative, Saluda Medical, SI Bone, Lia Healthcare, Inc. and Stryker; Speaker's Bureau: Abbott, AIS, Aurora Spine, CornerLoc, Globus, Nevro, SI Bone, and Stryker. Research: Abbott, Aurora Spine, Nevro, Saluda, SI Bone, and VIVEX Bilogics; Advisor: AIS, CornerLoc; Equity: CornerLoc.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Michael J. Dorsi, MD, has had a financial agreement or affiliation with the following commercial interest in the form of Consultant: Nevro, NuVasive, Abbott, Camber SPine, SpineArt, lifespine, Biotronik, Vyrsa.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David W. Lee, MD, has had a financial agreement or affiliation during the past year with the following commercial interest in the form of Consultant: Boston Sci, Mainstay Medical, Intracept, Johnson &amp; Johnson, Abbott, WISE; Advisory Board: Viari Health and Sharp Biomedical.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Jennifer M. Lee, MD, has had a financial agreement or affiliation during the past year with the following commercial interest in the form of Consultant: Boston Scientific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Jason E. Pope, MD, serves as a consultant for Abbott, Medtronic, Saluda, Flowonix, SpineThera, PainTEQ, Vertos, Vertiflex, SPR Therapeutics, Tersera, Aurora Spine, Spark, Ethos, Biotronik, Mainstay, WISE, Boston Scientific, Thermaquil; has received grant and research support from: Abbott, Flowonix, Saluda, Aurora Spine, PainTEQ, Ethos, Muse, Boston Scientific, SPR Therapeutics, Mainstay, Vertos, AIS, Thermaquil; and is a shareholder of: PainTEQ, Vertos, SPR Therapeutics, Aurora Spine, Spark, Celeri Health, Neural Integrative Solutions, Pacific Research Institute, Thermaquil and Anesthetic Gas Reclamation.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Eric T. Lee, MD, has had a financial agreement or affiliation with the following commercial interests in the form of Consultant: Boston Scientific, Abbott Laboratories, Biotronik, Nalu Medical; Research: Abbott Laboratories, Boston Scientific, Nalu Medical</w:t>
            </w:r>
          </w:p>
        </w:tc>
      </w:tr>
    </w:tbl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40" w:w="11900" w:orient="portrait"/>
      <w:pgMar w:bottom="450" w:top="900" w:left="99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066878" cy="986771"/>
          <wp:effectExtent b="0" l="0" r="0" t="0"/>
          <wp:docPr descr="A picture containing text, clock&#10;&#10;Description automatically generated" id="1" name="image2.jpg"/>
          <a:graphic>
            <a:graphicData uri="http://schemas.openxmlformats.org/drawingml/2006/picture">
              <pic:pic>
                <pic:nvPicPr>
                  <pic:cNvPr descr="A picture containing text, clock&#10;&#10;Description automatically generated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78" cy="9867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1171575</wp:posOffset>
          </wp:positionH>
          <wp:positionV relativeFrom="paragraph">
            <wp:posOffset>276225</wp:posOffset>
          </wp:positionV>
          <wp:extent cx="4490720" cy="379095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90720" cy="3790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68" w:lineRule="auto"/>
      <w:ind w:left="160"/>
    </w:pPr>
    <w:rPr>
      <w:rFonts w:ascii="Arial" w:cs="Arial" w:eastAsia="Arial" w:hAnsi="Arial"/>
      <w:b w:val="1"/>
      <w:bCs w:val="1"/>
      <w:i w:val="1"/>
      <w:i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I2W83LT/R11w76O45eC6kHCEOA==">CgMxLjA4AHIhMUJjem5vWG9UQnplN1dTbDZXTWtIbTkzVXcyTWt0eEZu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